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bookmarkStart w:id="0" w:name="_GoBack"/>
      <w:bookmarkEnd w:id="0"/>
      <w:r w:rsidRPr="00FD2156"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2017. november 3-30.</w:t>
      </w:r>
    </w:p>
    <w:p w:rsidR="0018070A" w:rsidRPr="00FD2156" w:rsidRDefault="0022659D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 xml:space="preserve"> </w:t>
      </w:r>
      <w:r w:rsidR="0018070A" w:rsidRPr="00FD2156">
        <w:rPr>
          <w:rFonts w:asciiTheme="majorHAnsi" w:hAnsiTheme="majorHAnsi"/>
          <w:b/>
          <w:sz w:val="23"/>
          <w:szCs w:val="23"/>
        </w:rPr>
        <w:t>„Emberközpontú tudomány”</w:t>
      </w:r>
    </w:p>
    <w:p w:rsidR="0018070A" w:rsidRDefault="0018070A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5373A5" w:rsidRPr="000319E3" w:rsidRDefault="00801198" w:rsidP="003B1155">
            <w:r>
              <w:t xml:space="preserve">Prof. Andrej </w:t>
            </w:r>
            <w:proofErr w:type="spellStart"/>
            <w:r>
              <w:t>Dujella</w:t>
            </w:r>
            <w:proofErr w:type="spellEnd"/>
            <w:r>
              <w:t xml:space="preserve"> előadása: </w:t>
            </w:r>
            <w:proofErr w:type="spellStart"/>
            <w:r>
              <w:t>Applications</w:t>
            </w:r>
            <w:proofErr w:type="spellEnd"/>
            <w:r>
              <w:t xml:space="preserve"> of </w:t>
            </w:r>
            <w:proofErr w:type="spellStart"/>
            <w:r>
              <w:t>Diophantine</w:t>
            </w:r>
            <w:proofErr w:type="spellEnd"/>
            <w:r>
              <w:t xml:space="preserve"> </w:t>
            </w:r>
            <w:proofErr w:type="spellStart"/>
            <w:r>
              <w:t>approximations</w:t>
            </w:r>
            <w:proofErr w:type="spellEnd"/>
            <w:r>
              <w:t xml:space="preserve"> </w:t>
            </w:r>
            <w:proofErr w:type="spellStart"/>
            <w:r>
              <w:t>algorithms</w:t>
            </w:r>
            <w:proofErr w:type="spellEnd"/>
            <w:r>
              <w:t xml:space="preserve"> in </w:t>
            </w:r>
            <w:proofErr w:type="spellStart"/>
            <w:r>
              <w:t>cryptanalysis</w:t>
            </w:r>
            <w:proofErr w:type="spellEnd"/>
            <w:r>
              <w:t xml:space="preserve"> of RSA</w:t>
            </w:r>
          </w:p>
        </w:tc>
      </w:tr>
      <w:tr w:rsidR="0018070A" w:rsidTr="008112CE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A037BF" w:rsidP="00E77D31">
            <w:pPr>
              <w:rPr>
                <w:color w:val="0070C0"/>
                <w:sz w:val="20"/>
                <w:szCs w:val="20"/>
              </w:rPr>
            </w:pPr>
            <w:proofErr w:type="spellStart"/>
            <w:r w:rsidRPr="001E5CDE">
              <w:rPr>
                <w:color w:val="404040" w:themeColor="text1" w:themeTint="BF"/>
                <w:sz w:val="20"/>
                <w:szCs w:val="20"/>
              </w:rPr>
              <w:t>workshop</w:t>
            </w:r>
            <w:proofErr w:type="spellEnd"/>
            <w:r w:rsidRPr="001E5CDE">
              <w:rPr>
                <w:color w:val="404040" w:themeColor="text1" w:themeTint="BF"/>
                <w:sz w:val="20"/>
                <w:szCs w:val="20"/>
              </w:rPr>
              <w:t xml:space="preserve"> stb.)</w:t>
            </w:r>
          </w:p>
        </w:tc>
        <w:tc>
          <w:tcPr>
            <w:tcW w:w="3194" w:type="pct"/>
          </w:tcPr>
          <w:p w:rsidR="0018070A" w:rsidRPr="000319E3" w:rsidRDefault="00801198" w:rsidP="003B1155">
            <w:r>
              <w:t>Előadás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Pr="000319E3" w:rsidRDefault="00801198" w:rsidP="00801198">
            <w:r>
              <w:t>Informatika, Matematika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0319E3" w:rsidRDefault="00801198" w:rsidP="00801198">
            <w:r>
              <w:t>2017. november 24. 13.00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FD6390" w:rsidRPr="000319E3" w:rsidRDefault="00801198" w:rsidP="003B1155">
            <w:r>
              <w:t>Debreceni Egyetem Informatikai Kar,</w:t>
            </w:r>
            <w:r w:rsidRPr="00A741EA">
              <w:t xml:space="preserve"> 4028 Debrecen, Kassai út 26.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Szervező </w:t>
            </w:r>
            <w:proofErr w:type="gramStart"/>
            <w:r w:rsidRPr="001E5CDE">
              <w:rPr>
                <w:b/>
                <w:color w:val="404040" w:themeColor="text1" w:themeTint="BF"/>
                <w:sz w:val="22"/>
              </w:rPr>
              <w:t>intézmény(</w:t>
            </w:r>
            <w:proofErr w:type="spellStart"/>
            <w:proofErr w:type="gramEnd"/>
            <w:r w:rsidRPr="001E5CDE">
              <w:rPr>
                <w:b/>
                <w:color w:val="404040" w:themeColor="text1" w:themeTint="BF"/>
                <w:sz w:val="22"/>
              </w:rPr>
              <w:t>ek</w:t>
            </w:r>
            <w:proofErr w:type="spellEnd"/>
            <w:r w:rsidRPr="001E5CDE">
              <w:rPr>
                <w:b/>
                <w:color w:val="404040" w:themeColor="text1" w:themeTint="BF"/>
                <w:sz w:val="22"/>
              </w:rPr>
              <w:t>)</w:t>
            </w:r>
          </w:p>
        </w:tc>
        <w:tc>
          <w:tcPr>
            <w:tcW w:w="3194" w:type="pct"/>
          </w:tcPr>
          <w:p w:rsidR="003B1155" w:rsidRPr="000319E3" w:rsidRDefault="00801198" w:rsidP="003B1155">
            <w:r>
              <w:t>Debreceni Egyetem Informatikai Kar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801198" w:rsidRDefault="00801198" w:rsidP="00801198">
            <w:r>
              <w:t>Dr. Cserhátiné Vecsei Ildikó</w:t>
            </w:r>
          </w:p>
          <w:p w:rsidR="00801198" w:rsidRDefault="00801198" w:rsidP="00801198">
            <w:r>
              <w:t>Dékáni Hivatalvezető</w:t>
            </w:r>
          </w:p>
          <w:p w:rsidR="00801198" w:rsidRDefault="00801198" w:rsidP="00801198">
            <w:r>
              <w:t>Informatikai Kar</w:t>
            </w:r>
          </w:p>
          <w:p w:rsidR="00801198" w:rsidRDefault="00801198" w:rsidP="00801198">
            <w:r>
              <w:t>tel: +36 (52) 512-900/75022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796"/>
            </w:tblGrid>
            <w:tr w:rsidR="00801198" w:rsidTr="00E31B1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801198" w:rsidRDefault="00801198" w:rsidP="0080119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vAlign w:val="center"/>
                  <w:hideMark/>
                </w:tcPr>
                <w:p w:rsidR="00801198" w:rsidRDefault="00F019E6" w:rsidP="00801198">
                  <w:pPr>
                    <w:pStyle w:val="NormlWeb"/>
                  </w:pPr>
                  <w:hyperlink r:id="rId6" w:history="1">
                    <w:r w:rsidR="00801198">
                      <w:rPr>
                        <w:rStyle w:val="Hiperhivatkozs"/>
                      </w:rPr>
                      <w:t>vecsei.ildiko@inf.unideb.hu</w:t>
                    </w:r>
                  </w:hyperlink>
                </w:p>
              </w:tc>
            </w:tr>
          </w:tbl>
          <w:p w:rsidR="003B1155" w:rsidRPr="000319E3" w:rsidRDefault="003B1155" w:rsidP="003B1155"/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Pr="000319E3" w:rsidRDefault="00D25B70" w:rsidP="003B1155"/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:rsidR="00F63878" w:rsidRPr="005373A5" w:rsidRDefault="00F63878" w:rsidP="00F63878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color w:val="404040" w:themeColor="text1" w:themeTint="BF"/>
                <w:sz w:val="20"/>
                <w:szCs w:val="20"/>
              </w:rPr>
              <w:t>legfeljebb 1000 karakter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F63878" w:rsidRPr="000319E3" w:rsidRDefault="00801198" w:rsidP="003B1155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speed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RSA </w:t>
            </w:r>
            <w:proofErr w:type="spellStart"/>
            <w:r>
              <w:t>decryption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try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small</w:t>
            </w:r>
            <w:proofErr w:type="spellEnd"/>
            <w:r>
              <w:t xml:space="preserve"> </w:t>
            </w:r>
            <w:proofErr w:type="spellStart"/>
            <w:r>
              <w:t>secret</w:t>
            </w:r>
            <w:proofErr w:type="spellEnd"/>
            <w:r>
              <w:t xml:space="preserve"> </w:t>
            </w:r>
            <w:proofErr w:type="spellStart"/>
            <w:r>
              <w:t>decryption</w:t>
            </w:r>
            <w:proofErr w:type="spellEnd"/>
            <w:r>
              <w:t xml:space="preserve"> </w:t>
            </w:r>
            <w:proofErr w:type="spellStart"/>
            <w:r>
              <w:t>exponent</w:t>
            </w:r>
            <w:proofErr w:type="spellEnd"/>
            <w:r>
              <w:t xml:space="preserve"> d. The </w:t>
            </w:r>
            <w:proofErr w:type="spellStart"/>
            <w:r>
              <w:t>choice</w:t>
            </w:r>
            <w:proofErr w:type="spellEnd"/>
            <w:r>
              <w:t xml:space="preserve"> of a </w:t>
            </w:r>
            <w:proofErr w:type="spellStart"/>
            <w:r>
              <w:t>small</w:t>
            </w:r>
            <w:proofErr w:type="spellEnd"/>
            <w:r>
              <w:t xml:space="preserve"> d is </w:t>
            </w:r>
            <w:proofErr w:type="spellStart"/>
            <w:r>
              <w:t>especially</w:t>
            </w:r>
            <w:proofErr w:type="spellEnd"/>
            <w:r>
              <w:t xml:space="preserve"> </w:t>
            </w:r>
            <w:proofErr w:type="spellStart"/>
            <w:r>
              <w:t>interesting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is a </w:t>
            </w:r>
            <w:proofErr w:type="spellStart"/>
            <w:r>
              <w:t>large</w:t>
            </w:r>
            <w:proofErr w:type="spellEnd"/>
            <w:r>
              <w:t xml:space="preserve"> </w:t>
            </w:r>
            <w:proofErr w:type="spellStart"/>
            <w:r>
              <w:t>difference</w:t>
            </w:r>
            <w:proofErr w:type="spellEnd"/>
            <w:r>
              <w:t xml:space="preserve"> in </w:t>
            </w:r>
            <w:proofErr w:type="spellStart"/>
            <w:r>
              <w:t>computing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communicating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. </w:t>
            </w:r>
            <w:proofErr w:type="spellStart"/>
            <w:r>
              <w:t>However</w:t>
            </w:r>
            <w:proofErr w:type="spellEnd"/>
            <w:r>
              <w:t xml:space="preserve">, in 1990, Wiener </w:t>
            </w:r>
            <w:proofErr w:type="spellStart"/>
            <w:r>
              <w:t>showed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d </w:t>
            </w:r>
            <w:proofErr w:type="gramStart"/>
            <w:r>
              <w:t>&lt; n</w:t>
            </w:r>
            <w:proofErr w:type="gramEnd"/>
            <w:r>
              <w:t xml:space="preserve">^(1/4), </w:t>
            </w:r>
            <w:proofErr w:type="spellStart"/>
            <w:r>
              <w:t>where</w:t>
            </w:r>
            <w:proofErr w:type="spellEnd"/>
            <w:r>
              <w:t xml:space="preserve"> n = </w:t>
            </w:r>
            <w:proofErr w:type="spellStart"/>
            <w:r>
              <w:t>pq</w:t>
            </w:r>
            <w:proofErr w:type="spellEnd"/>
            <w:r>
              <w:t xml:space="preserve"> is </w:t>
            </w:r>
            <w:proofErr w:type="spellStart"/>
            <w:r>
              <w:t>the</w:t>
            </w:r>
            <w:proofErr w:type="spellEnd"/>
            <w:r>
              <w:t xml:space="preserve"> modulus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cryptosystem</w:t>
            </w:r>
            <w:proofErr w:type="spellEnd"/>
            <w:r>
              <w:t xml:space="preserve">,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exist</w:t>
            </w:r>
            <w:proofErr w:type="spellEnd"/>
            <w:r>
              <w:t xml:space="preserve"> a </w:t>
            </w:r>
            <w:proofErr w:type="spellStart"/>
            <w:r>
              <w:t>polynomial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attack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RSA. He </w:t>
            </w:r>
            <w:proofErr w:type="spellStart"/>
            <w:r>
              <w:t>showed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d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denominator</w:t>
            </w:r>
            <w:proofErr w:type="spellEnd"/>
            <w:r>
              <w:t xml:space="preserve"> of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convergent</w:t>
            </w:r>
            <w:proofErr w:type="spellEnd"/>
            <w:r>
              <w:t xml:space="preserve"> </w:t>
            </w:r>
            <w:proofErr w:type="spellStart"/>
            <w:r>
              <w:t>p_m</w:t>
            </w:r>
            <w:proofErr w:type="spellEnd"/>
            <w:r>
              <w:t>/</w:t>
            </w:r>
            <w:proofErr w:type="spellStart"/>
            <w:r>
              <w:t>q_m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continued</w:t>
            </w:r>
            <w:proofErr w:type="spellEnd"/>
            <w:r>
              <w:t xml:space="preserve"> </w:t>
            </w:r>
            <w:proofErr w:type="spellStart"/>
            <w:r>
              <w:t>fraction</w:t>
            </w:r>
            <w:proofErr w:type="spellEnd"/>
            <w:r>
              <w:t xml:space="preserve"> </w:t>
            </w:r>
            <w:proofErr w:type="spellStart"/>
            <w:r>
              <w:t>expansion</w:t>
            </w:r>
            <w:proofErr w:type="spellEnd"/>
            <w:r>
              <w:t xml:space="preserve"> of e/n, and </w:t>
            </w:r>
            <w:proofErr w:type="spellStart"/>
            <w:r>
              <w:t>therefore</w:t>
            </w:r>
            <w:proofErr w:type="spellEnd"/>
            <w:r>
              <w:t xml:space="preserve"> d </w:t>
            </w:r>
            <w:proofErr w:type="spellStart"/>
            <w:r>
              <w:t>can</w:t>
            </w:r>
            <w:proofErr w:type="spellEnd"/>
            <w:r>
              <w:t xml:space="preserve"> be </w:t>
            </w:r>
            <w:proofErr w:type="spellStart"/>
            <w:r>
              <w:t>computed</w:t>
            </w:r>
            <w:proofErr w:type="spellEnd"/>
            <w:r>
              <w:t xml:space="preserve"> </w:t>
            </w:r>
            <w:proofErr w:type="spellStart"/>
            <w:r>
              <w:t>efficiently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(</w:t>
            </w:r>
            <w:proofErr w:type="spellStart"/>
            <w:r>
              <w:t>n</w:t>
            </w:r>
            <w:proofErr w:type="gramStart"/>
            <w:r>
              <w:t>,e</w:t>
            </w:r>
            <w:proofErr w:type="spellEnd"/>
            <w:proofErr w:type="gramEnd"/>
            <w:r>
              <w:t xml:space="preserve">).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talk</w:t>
            </w:r>
            <w:proofErr w:type="spellEnd"/>
            <w:r>
              <w:t xml:space="preserve">, we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discuss</w:t>
            </w:r>
            <w:proofErr w:type="spellEnd"/>
            <w:r>
              <w:t xml:space="preserve"> </w:t>
            </w:r>
            <w:proofErr w:type="spellStart"/>
            <w:r>
              <w:t>similar</w:t>
            </w:r>
            <w:proofErr w:type="spellEnd"/>
            <w:r>
              <w:t xml:space="preserve"> </w:t>
            </w:r>
            <w:proofErr w:type="spellStart"/>
            <w:r>
              <w:t>attacks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RSA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variants</w:t>
            </w:r>
            <w:proofErr w:type="spellEnd"/>
            <w:r>
              <w:t xml:space="preserve">  </w:t>
            </w:r>
            <w:proofErr w:type="spellStart"/>
            <w:r>
              <w:t>which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and </w:t>
            </w:r>
            <w:proofErr w:type="spellStart"/>
            <w:r>
              <w:t>algorithms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Diophantine</w:t>
            </w:r>
            <w:proofErr w:type="spellEnd"/>
            <w:r>
              <w:t xml:space="preserve"> </w:t>
            </w:r>
            <w:proofErr w:type="spellStart"/>
            <w:r>
              <w:t>approximations</w:t>
            </w:r>
            <w:proofErr w:type="spellEnd"/>
            <w:r>
              <w:t xml:space="preserve">, </w:t>
            </w:r>
            <w:proofErr w:type="spellStart"/>
            <w:r>
              <w:t>such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Worley's</w:t>
            </w:r>
            <w:proofErr w:type="spellEnd"/>
            <w:r>
              <w:t xml:space="preserve"> </w:t>
            </w:r>
            <w:proofErr w:type="spellStart"/>
            <w:r>
              <w:t>extension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classical</w:t>
            </w:r>
            <w:proofErr w:type="spellEnd"/>
            <w:r>
              <w:t xml:space="preserve"> </w:t>
            </w:r>
            <w:proofErr w:type="spellStart"/>
            <w:r>
              <w:t>Legendre's</w:t>
            </w:r>
            <w:proofErr w:type="spellEnd"/>
            <w:r>
              <w:t xml:space="preserve"> </w:t>
            </w:r>
            <w:proofErr w:type="spellStart"/>
            <w:r>
              <w:t>theorem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continued</w:t>
            </w:r>
            <w:proofErr w:type="spellEnd"/>
            <w:r>
              <w:t xml:space="preserve"> </w:t>
            </w:r>
            <w:proofErr w:type="spellStart"/>
            <w:r>
              <w:t>fractions</w:t>
            </w:r>
            <w:proofErr w:type="spellEnd"/>
            <w:r>
              <w:t> and LLL-</w:t>
            </w:r>
            <w:proofErr w:type="spellStart"/>
            <w:r>
              <w:t>algorithm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computing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vectors</w:t>
            </w:r>
            <w:proofErr w:type="spellEnd"/>
            <w:r>
              <w:t xml:space="preserve"> in </w:t>
            </w:r>
            <w:proofErr w:type="spellStart"/>
            <w:r>
              <w:t>lattices</w:t>
            </w:r>
            <w:proofErr w:type="spellEnd"/>
            <w:r>
              <w:t>.   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lastRenderedPageBreak/>
              <w:t>A rendezvény program</w:t>
            </w:r>
            <w:r w:rsidR="003B5AE4">
              <w:rPr>
                <w:b/>
                <w:color w:val="404040" w:themeColor="text1" w:themeTint="BF"/>
                <w:sz w:val="22"/>
              </w:rPr>
              <w:t>terve</w:t>
            </w:r>
          </w:p>
          <w:p w:rsidR="003B1155" w:rsidRPr="001E5CDE" w:rsidRDefault="003B1155" w:rsidP="005373A5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:rsidR="003B1155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3194" w:type="pct"/>
          </w:tcPr>
          <w:p w:rsidR="005373A5" w:rsidRDefault="00801198" w:rsidP="003B1155">
            <w:r>
              <w:t xml:space="preserve">Prof. Andrej </w:t>
            </w:r>
            <w:proofErr w:type="spellStart"/>
            <w:r>
              <w:t>Dujella</w:t>
            </w:r>
            <w:proofErr w:type="spellEnd"/>
            <w:r>
              <w:t xml:space="preserve"> előadása: </w:t>
            </w:r>
            <w:proofErr w:type="spellStart"/>
            <w:r>
              <w:t>Applications</w:t>
            </w:r>
            <w:proofErr w:type="spellEnd"/>
            <w:r>
              <w:t xml:space="preserve"> of </w:t>
            </w:r>
            <w:proofErr w:type="spellStart"/>
            <w:r>
              <w:t>Diophantine</w:t>
            </w:r>
            <w:proofErr w:type="spellEnd"/>
            <w:r>
              <w:t xml:space="preserve"> </w:t>
            </w:r>
            <w:proofErr w:type="spellStart"/>
            <w:r>
              <w:t>approximations</w:t>
            </w:r>
            <w:proofErr w:type="spellEnd"/>
            <w:r>
              <w:t xml:space="preserve"> </w:t>
            </w:r>
            <w:proofErr w:type="spellStart"/>
            <w:r>
              <w:t>algorithms</w:t>
            </w:r>
            <w:proofErr w:type="spellEnd"/>
            <w:r>
              <w:t xml:space="preserve"> in </w:t>
            </w:r>
            <w:proofErr w:type="spellStart"/>
            <w:r>
              <w:t>cryptanalysis</w:t>
            </w:r>
            <w:proofErr w:type="spellEnd"/>
            <w:r>
              <w:t xml:space="preserve"> of RSA</w:t>
            </w:r>
          </w:p>
          <w:p w:rsidR="00801198" w:rsidRDefault="00801198" w:rsidP="003B1155"/>
          <w:p w:rsidR="00801198" w:rsidRPr="000319E3" w:rsidRDefault="00801198" w:rsidP="00801198">
            <w:r>
              <w:t xml:space="preserve">A Debreceni Egyetem Informatikai Kara ez évben Prof. Andrej Dujellat terjesztette fel a </w:t>
            </w:r>
            <w:proofErr w:type="spellStart"/>
            <w:r>
              <w:t>Doctor</w:t>
            </w:r>
            <w:proofErr w:type="spellEnd"/>
            <w:r>
              <w:t xml:space="preserve"> Honoris causa címre. A címmel járó oklevél ünnepélyes átadására 2017. november 25-én kerül sor, ezt megelőzően az Informatikai Kar lehetőséget ad a professzor úrnak tudományos előadás megtartására. Itt lehetősége lesz az oktatóknak, doktoranduszoknak és hallgatóknak betekintést nyerni a professzor úr munkásságába.</w:t>
            </w:r>
          </w:p>
        </w:tc>
      </w:tr>
    </w:tbl>
    <w:p w:rsidR="007E469C" w:rsidRDefault="007E469C"/>
    <w:sectPr w:rsidR="007E469C" w:rsidSect="00573A6E">
      <w:footerReference w:type="default" r:id="rId7"/>
      <w:pgSz w:w="11906" w:h="16838" w:code="9"/>
      <w:pgMar w:top="737" w:right="1134" w:bottom="567" w:left="1134" w:header="709" w:footer="34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E6" w:rsidRDefault="00F019E6" w:rsidP="007E469C">
      <w:pPr>
        <w:spacing w:line="240" w:lineRule="auto"/>
      </w:pPr>
      <w:r>
        <w:separator/>
      </w:r>
    </w:p>
  </w:endnote>
  <w:endnote w:type="continuationSeparator" w:id="0">
    <w:p w:rsidR="00F019E6" w:rsidRDefault="00F019E6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537F97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E6" w:rsidRDefault="00F019E6" w:rsidP="007E469C">
      <w:pPr>
        <w:spacing w:line="240" w:lineRule="auto"/>
      </w:pPr>
      <w:r>
        <w:separator/>
      </w:r>
    </w:p>
  </w:footnote>
  <w:footnote w:type="continuationSeparator" w:id="0">
    <w:p w:rsidR="00F019E6" w:rsidRDefault="00F019E6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319E3"/>
    <w:rsid w:val="000C1102"/>
    <w:rsid w:val="000C73B0"/>
    <w:rsid w:val="001464C5"/>
    <w:rsid w:val="0018070A"/>
    <w:rsid w:val="001B45D1"/>
    <w:rsid w:val="001E5CDE"/>
    <w:rsid w:val="0022659D"/>
    <w:rsid w:val="002602AA"/>
    <w:rsid w:val="002769AF"/>
    <w:rsid w:val="00295A33"/>
    <w:rsid w:val="002B4E5D"/>
    <w:rsid w:val="00396A10"/>
    <w:rsid w:val="003B1155"/>
    <w:rsid w:val="003B5AE4"/>
    <w:rsid w:val="004A2616"/>
    <w:rsid w:val="004F3F22"/>
    <w:rsid w:val="005373A5"/>
    <w:rsid w:val="00537F97"/>
    <w:rsid w:val="00573A6E"/>
    <w:rsid w:val="00764D73"/>
    <w:rsid w:val="00792F97"/>
    <w:rsid w:val="007A62BA"/>
    <w:rsid w:val="007E469C"/>
    <w:rsid w:val="00801198"/>
    <w:rsid w:val="008112CE"/>
    <w:rsid w:val="00841839"/>
    <w:rsid w:val="009F4470"/>
    <w:rsid w:val="00A037BF"/>
    <w:rsid w:val="00AE15C5"/>
    <w:rsid w:val="00AE34AC"/>
    <w:rsid w:val="00B71798"/>
    <w:rsid w:val="00BA518C"/>
    <w:rsid w:val="00C26DF0"/>
    <w:rsid w:val="00D25B70"/>
    <w:rsid w:val="00DB79FD"/>
    <w:rsid w:val="00E77D31"/>
    <w:rsid w:val="00F019E6"/>
    <w:rsid w:val="00F57D37"/>
    <w:rsid w:val="00F63878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9B2CC5-2E2F-4F9D-86E8-371D09F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paragraph" w:styleId="NormlWeb">
    <w:name w:val="Normal (Web)"/>
    <w:basedOn w:val="Norml"/>
    <w:uiPriority w:val="99"/>
    <w:unhideWhenUsed/>
    <w:rsid w:val="008011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uiPriority w:val="99"/>
    <w:unhideWhenUsed/>
    <w:rsid w:val="00801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csei.ildiko@inf.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Fazekas Zoltán</cp:lastModifiedBy>
  <cp:revision>2</cp:revision>
  <cp:lastPrinted>2017-09-13T07:52:00Z</cp:lastPrinted>
  <dcterms:created xsi:type="dcterms:W3CDTF">2017-10-19T12:59:00Z</dcterms:created>
  <dcterms:modified xsi:type="dcterms:W3CDTF">2017-10-19T12:59:00Z</dcterms:modified>
</cp:coreProperties>
</file>